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E7" w:rsidRDefault="00BB3A44">
      <w:pPr>
        <w:pStyle w:val="MHBTextBetreff"/>
        <w:jc w:val="center"/>
      </w:pPr>
      <w:r>
        <w:t xml:space="preserve">Datenschutzrechtliche Informationen nach Artikel 13 Absatz 1 und 2 </w:t>
      </w:r>
    </w:p>
    <w:p w:rsidR="00231CE7" w:rsidRDefault="00BB3A44">
      <w:pPr>
        <w:pStyle w:val="MHBTextBetreff"/>
        <w:jc w:val="center"/>
      </w:pPr>
      <w:r>
        <w:t xml:space="preserve">Datenschutz-Grundverordnung für die Umsetzung der Chemikalien-Verbotsverordnung (ChemVerbotsV) – Antrag nach §6 und </w:t>
      </w:r>
      <w:r>
        <w:t>Anzeige nach §7 ChemVerbotsV</w:t>
      </w:r>
    </w:p>
    <w:p w:rsidR="00231CE7" w:rsidRDefault="00231CE7">
      <w:pPr>
        <w:pStyle w:val="MHBTextBetreff"/>
        <w:jc w:val="center"/>
      </w:pPr>
    </w:p>
    <w:p w:rsidR="00231CE7" w:rsidRDefault="00BB3A44">
      <w:pPr>
        <w:pStyle w:val="MHBTextBetreff"/>
        <w:jc w:val="both"/>
      </w:pPr>
      <w:r>
        <w:rPr>
          <w:b w:val="0"/>
        </w:rPr>
        <w:t>Die Landesdirektion Sachsen erhebt von Ihnen personenbezogene Daten. Deshalb informieren wir Sie wie folgt:</w:t>
      </w:r>
    </w:p>
    <w:p w:rsidR="00231CE7" w:rsidRDefault="00231CE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843"/>
        <w:gridCol w:w="3686"/>
        <w:gridCol w:w="2835"/>
      </w:tblGrid>
      <w:tr w:rsidR="00231CE7">
        <w:tc>
          <w:tcPr>
            <w:tcW w:w="710" w:type="dxa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personenbezogenen Daten werden verarbeitet durch die: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Landesdirektion Sachsen</w:t>
            </w:r>
            <w:r>
              <w:rPr>
                <w:sz w:val="20"/>
                <w:szCs w:val="20"/>
              </w:rPr>
              <w:br/>
              <w:t xml:space="preserve">09105 Chemnitz </w:t>
            </w:r>
          </w:p>
        </w:tc>
      </w:tr>
      <w:tr w:rsidR="00231CE7">
        <w:tc>
          <w:tcPr>
            <w:tcW w:w="710" w:type="dxa"/>
            <w:vMerge/>
            <w:shd w:val="clear" w:color="auto" w:fill="auto"/>
          </w:tcPr>
          <w:p w:rsidR="00231CE7" w:rsidRDefault="00231CE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231CE7" w:rsidRDefault="00231CE7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post@lds.sachsen.de</w:t>
            </w:r>
          </w:p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+49 371/532-1929</w:t>
            </w:r>
          </w:p>
        </w:tc>
        <w:tc>
          <w:tcPr>
            <w:tcW w:w="2835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+49 371/532-0</w:t>
            </w:r>
          </w:p>
        </w:tc>
      </w:tr>
      <w:tr w:rsidR="00231CE7">
        <w:tc>
          <w:tcPr>
            <w:tcW w:w="710" w:type="dxa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Ihr Ansprechpartner bei Fragen zum Datenschutzrecht, </w:t>
            </w:r>
            <w:r>
              <w:rPr>
                <w:bCs/>
                <w:i/>
                <w:sz w:val="20"/>
                <w:szCs w:val="20"/>
              </w:rPr>
              <w:t xml:space="preserve">der </w:t>
            </w:r>
            <w:r>
              <w:rPr>
                <w:i/>
                <w:sz w:val="20"/>
                <w:szCs w:val="20"/>
              </w:rPr>
              <w:t>Ihnen zu Verwaltungsverfahren und sonstigen Verwaltungsangelegenheiten jedoch keine Auskunft geben kann,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ist der behördliche </w:t>
            </w:r>
            <w:r>
              <w:rPr>
                <w:bCs/>
                <w:sz w:val="20"/>
                <w:szCs w:val="20"/>
              </w:rPr>
              <w:t>Datenschutzbeauftragte: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der Landesdirektion Sachsen</w:t>
            </w:r>
            <w:r>
              <w:rPr>
                <w:sz w:val="20"/>
                <w:szCs w:val="20"/>
              </w:rPr>
              <w:br/>
              <w:t xml:space="preserve">09105 Chemnitz </w:t>
            </w:r>
          </w:p>
        </w:tc>
      </w:tr>
      <w:tr w:rsidR="00231CE7">
        <w:tc>
          <w:tcPr>
            <w:tcW w:w="710" w:type="dxa"/>
            <w:vMerge/>
            <w:shd w:val="clear" w:color="auto" w:fill="auto"/>
          </w:tcPr>
          <w:p w:rsidR="00231CE7" w:rsidRDefault="00231CE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231CE7" w:rsidRDefault="00231CE7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datenschutz@lds.sachsen.de</w:t>
            </w:r>
          </w:p>
        </w:tc>
        <w:tc>
          <w:tcPr>
            <w:tcW w:w="2835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+49 371/532-0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 welchen Zwecken verarbeiten wir Ihre Daten? 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Ausstellung einer Erlaubnis nach §6 ChemVerbotsV </w:t>
            </w:r>
            <w:r>
              <w:rPr>
                <w:rFonts w:cs="Arial"/>
                <w:sz w:val="20"/>
                <w:szCs w:val="20"/>
              </w:rPr>
              <w:t>und Anzeigepflicht bei erstmaliger Abgabe oder Bereitstellung nach §7 ChemVerbotsV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 und aufgrund welcher Rechtsgrundlage?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Artikel 6 Buchstabe e Datenschutzgrundverordnung (DSGVO)</w:t>
            </w:r>
          </w:p>
          <w:p w:rsidR="00231CE7" w:rsidRDefault="00BB3A44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§6 Sächsisches Verwaltungsorganisationsgesetz (SächsVwOrgG)</w:t>
            </w:r>
          </w:p>
          <w:p w:rsidR="00231CE7" w:rsidRDefault="00BB3A44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§6 oder §7 </w:t>
            </w:r>
            <w:r>
              <w:rPr>
                <w:rFonts w:cs="Arial"/>
                <w:sz w:val="20"/>
                <w:szCs w:val="20"/>
              </w:rPr>
              <w:t>ChemVerbotsV</w:t>
            </w:r>
          </w:p>
          <w:p w:rsidR="00231CE7" w:rsidRDefault="00BB3A44">
            <w:pPr>
              <w:pStyle w:val="Listenabsatz"/>
              <w:numPr>
                <w:ilvl w:val="0"/>
                <w:numId w:val="2"/>
              </w:num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§3 Abs. 1 Nr. 1 und 2 Sächsische Chemikalienrecht-Zuständigkeitsverordnung (SächsChemRZuVO)</w:t>
            </w:r>
          </w:p>
        </w:tc>
      </w:tr>
      <w:tr w:rsidR="00231CE7">
        <w:tc>
          <w:tcPr>
            <w:tcW w:w="710" w:type="dxa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personenbezogenen Daten sollen natürlichen oder juristischen Personen, Behörden, Einrichtungen oder anderen Stellen offengelegt werden.</w:t>
            </w:r>
          </w:p>
        </w:tc>
      </w:tr>
      <w:tr w:rsidR="00231CE7">
        <w:tc>
          <w:tcPr>
            <w:tcW w:w="710" w:type="dxa"/>
            <w:vMerge/>
            <w:shd w:val="clear" w:color="auto" w:fill="auto"/>
          </w:tcPr>
          <w:p w:rsidR="00231CE7" w:rsidRDefault="00231CE7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a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nein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708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nur falls Nr. 5.1 ja:</w:t>
            </w:r>
          </w:p>
        </w:tc>
        <w:tc>
          <w:tcPr>
            <w:tcW w:w="1843" w:type="dxa"/>
            <w:shd w:val="clear" w:color="auto" w:fill="auto"/>
          </w:tcPr>
          <w:p w:rsidR="00231CE7" w:rsidRDefault="00BB3A4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Wem gegenüber werden Ihre personenbezogenen Daten offengelegt?</w:t>
            </w:r>
          </w:p>
          <w:p w:rsidR="00231CE7" w:rsidRDefault="00231CE7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Dauer der Speicherung oder Kriterien für die Festlegung der Dauer der Speicherung: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Akten und Vorgänge 10 Jahre gemäß Nr. VIII VwV Aktenführung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Ihre Rechte als betroffene Person: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 der Datenschutz-Grundverordnung stehen Ihnen folgende Rechte zu: </w:t>
            </w:r>
          </w:p>
          <w:p w:rsidR="00231CE7" w:rsidRDefault="00BB3A44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Werden Ihre personenbezogenen Daten verarbeitet, so haben Sie das Recht Auskunft über die zu Ihrer Person gespeicherten Daten zu erhalten (Artikel 15 Datenschutz-Grundverordnung). </w:t>
            </w:r>
          </w:p>
          <w:p w:rsidR="00231CE7" w:rsidRDefault="00BB3A44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</w:t>
            </w:r>
            <w:r>
              <w:rPr>
                <w:sz w:val="20"/>
                <w:szCs w:val="20"/>
              </w:rPr>
              <w:t xml:space="preserve">ten unrichtige personenbezogene Daten verarbeitet werden, steht Ihnen ein Recht auf Berichtigung zu (Artikel 16 Datenschutz-Grundverordnung). </w:t>
            </w:r>
          </w:p>
          <w:p w:rsidR="00231CE7" w:rsidRDefault="00BB3A44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Liegen die gesetzlichen Voraussetzungen vor, so können Sie die Löschung oder Einschränkung der Verarbeitung verla</w:t>
            </w:r>
            <w:r>
              <w:rPr>
                <w:sz w:val="20"/>
                <w:szCs w:val="20"/>
              </w:rPr>
              <w:t xml:space="preserve">ngen sowie Widerspruch gegen die Verarbeitung einlegen (Artikel 17, 18 und 21 Datenschutz-Grund-verordnung). </w:t>
            </w:r>
          </w:p>
          <w:p w:rsidR="00231CE7" w:rsidRDefault="00BB3A44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Sie in die Datenverarbeitung eingewilligt haben oder ein Vertrag zur Datenverarbeitung besteht und die Datenverarbeitung mithilfe automatisie</w:t>
            </w:r>
            <w:r>
              <w:rPr>
                <w:sz w:val="20"/>
                <w:szCs w:val="20"/>
              </w:rPr>
              <w:t xml:space="preserve">rter Verfahren durchgeführt wird, steht Ihnen gegebenenfalls ein Recht auf Datenübertragbarkeit zu (Artikel 20 Datenschutz-Grund-verordnung). </w:t>
            </w:r>
          </w:p>
          <w:p w:rsidR="00231CE7" w:rsidRDefault="00231CE7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:rsidR="00231CE7" w:rsidRDefault="00BB3A44">
            <w:pPr>
              <w:spacing w:after="120"/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Sollten Sie von Ihren oben genannten Rechten Gebrauch machen, prüft die Landesdirektion Sachsen, ob die </w:t>
            </w:r>
            <w:r>
              <w:rPr>
                <w:sz w:val="20"/>
                <w:szCs w:val="20"/>
              </w:rPr>
              <w:t>gesetzlichen Voraussetzungen hierfür erfüllt sind</w:t>
            </w:r>
          </w:p>
          <w:p w:rsidR="00231CE7" w:rsidRDefault="00BB3A44">
            <w:pPr>
              <w:spacing w:after="120"/>
              <w:ind w:left="-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Ihr Recht auf Beschwerde beim Sächsischen Datenschutzbeauftragten: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Sie haben nach Artikel 77 Datenschutz-Grundverordnung das </w:t>
            </w:r>
            <w:r>
              <w:rPr>
                <w:rFonts w:cs="Arial"/>
                <w:sz w:val="20"/>
                <w:szCs w:val="20"/>
              </w:rPr>
              <w:t>Recht, sich bei der Aufsichtsbehörde zu beschweren, wenn Sie der Ansicht sind, dass die Verarbeitung der Sie betreffenden personenbezogenen Daten nicht rechtmäßig erfolgt. Aufsichtsbehörde ist:</w:t>
            </w:r>
          </w:p>
          <w:p w:rsidR="00231CE7" w:rsidRDefault="00BB3A44">
            <w:pPr>
              <w:spacing w:before="120" w:after="120"/>
              <w:ind w:left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Sächsische Datenschutzbeauftragte</w:t>
            </w:r>
            <w:r>
              <w:rPr>
                <w:rFonts w:cs="Arial"/>
                <w:sz w:val="20"/>
                <w:szCs w:val="20"/>
              </w:rPr>
              <w:br/>
              <w:t>Postfach 12 00 16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01001 </w:t>
            </w:r>
            <w:r>
              <w:rPr>
                <w:sz w:val="20"/>
                <w:szCs w:val="20"/>
              </w:rPr>
              <w:t>Dresden</w:t>
            </w:r>
          </w:p>
        </w:tc>
      </w:tr>
      <w:tr w:rsidR="00231CE7">
        <w:tc>
          <w:tcPr>
            <w:tcW w:w="710" w:type="dxa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 w:type="page"/>
              <w:t>9.1</w:t>
            </w:r>
          </w:p>
        </w:tc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personenbezogenen Daten sollen an ein Drittland oder eine internationale Organisation übermittelt werden.</w:t>
            </w:r>
          </w:p>
        </w:tc>
      </w:tr>
      <w:tr w:rsidR="00231CE7">
        <w:tc>
          <w:tcPr>
            <w:tcW w:w="710" w:type="dxa"/>
            <w:vMerge/>
            <w:shd w:val="clear" w:color="auto" w:fill="auto"/>
          </w:tcPr>
          <w:p w:rsidR="00231CE7" w:rsidRDefault="00231CE7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:rsidR="00231CE7" w:rsidRDefault="00BB3A44">
            <w:pPr>
              <w:tabs>
                <w:tab w:val="left" w:pos="3010"/>
              </w:tabs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231CE7" w:rsidRDefault="00BB3A44">
            <w:pPr>
              <w:tabs>
                <w:tab w:val="left" w:pos="3010"/>
              </w:tabs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ja: Die Übermittlung erfolgt an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1CE7">
        <w:trPr>
          <w:trHeight w:val="1211"/>
        </w:trPr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9.2</w:t>
            </w:r>
          </w:p>
        </w:tc>
        <w:tc>
          <w:tcPr>
            <w:tcW w:w="708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nur falls Nr. 9.1 ja: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liegt ein Angemessenheitsbeschluss nach Artikel 45 Datenschutz-Grundverordnung vor, mit dem die EU-Kommission beschlossen hat, dass das Drittland/die internationale Organisation ein angemessenes </w:t>
            </w:r>
            <w:r>
              <w:rPr>
                <w:rFonts w:cs="Arial"/>
                <w:sz w:val="20"/>
                <w:szCs w:val="20"/>
              </w:rPr>
              <w:t>Datenschutzniveau bietet.</w:t>
            </w:r>
          </w:p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9.3</w:t>
            </w:r>
          </w:p>
        </w:tc>
        <w:tc>
          <w:tcPr>
            <w:tcW w:w="708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nur falls Nr. 9.2 nein: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</w:t>
            </w:r>
            <w:r>
              <w:rPr>
                <w:rFonts w:cs="Arial"/>
                <w:sz w:val="20"/>
                <w:szCs w:val="20"/>
              </w:rPr>
              <w:t>liegen geeignete und angemessene Garantien für die Übermittlung der personenbezogenen Daten vor.</w:t>
            </w:r>
          </w:p>
          <w:p w:rsidR="00231CE7" w:rsidRDefault="00BB3A44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Eine Kopie dieser Garantien können Sie unter folgender Adresse anfordern:</w:t>
            </w:r>
          </w:p>
          <w:p w:rsidR="00231CE7" w:rsidRDefault="00BB3A44">
            <w:pPr>
              <w:spacing w:after="120"/>
              <w:ind w:left="27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231CE7" w:rsidRDefault="00BB3A44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Informationen über die geeigneten und angemessenen Garantien sind verfügbar</w:t>
            </w:r>
            <w:r>
              <w:rPr>
                <w:rFonts w:cs="Arial"/>
                <w:sz w:val="20"/>
                <w:szCs w:val="20"/>
              </w:rPr>
              <w:br/>
              <w:t xml:space="preserve">     unter:</w:t>
            </w:r>
          </w:p>
          <w:p w:rsidR="00231CE7" w:rsidRDefault="00BB3A44">
            <w:pPr>
              <w:spacing w:after="120"/>
              <w:ind w:left="27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Bereitstellung der personenbezogenen Daten ist gesetzlich vorgeschrieben.</w:t>
            </w:r>
          </w:p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ja: Rechtsgrundlage ist §6 und/ oder §7 ChemVerbotsV.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10.2</w:t>
            </w:r>
          </w:p>
        </w:tc>
        <w:tc>
          <w:tcPr>
            <w:tcW w:w="708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nur falls </w:t>
            </w:r>
            <w:r>
              <w:rPr>
                <w:rFonts w:cs="Arial"/>
                <w:sz w:val="20"/>
                <w:szCs w:val="20"/>
              </w:rPr>
              <w:t>10.1 ja: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Sie sind verpflichtet, die personenbezogenen Daten bereitzustellen:</w:t>
            </w:r>
          </w:p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31CE7">
        <w:tc>
          <w:tcPr>
            <w:tcW w:w="710" w:type="dxa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nur falls Nr. 10.2 ja:</w:t>
            </w:r>
          </w:p>
        </w:tc>
        <w:tc>
          <w:tcPr>
            <w:tcW w:w="1843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Verpflichtung bezieht sich auf folgende personenbezogene Daten: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AC04F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Name, Vorname, Wohnadresse, Geburtsdatum</w:t>
            </w:r>
          </w:p>
        </w:tc>
      </w:tr>
      <w:tr w:rsidR="00231CE7">
        <w:tc>
          <w:tcPr>
            <w:tcW w:w="710" w:type="dxa"/>
            <w:vMerge/>
            <w:shd w:val="clear" w:color="auto" w:fill="auto"/>
          </w:tcPr>
          <w:p w:rsidR="00231CE7" w:rsidRDefault="00231CE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31CE7" w:rsidRDefault="00231CE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Nichtbereitstellung der </w:t>
            </w:r>
            <w:r>
              <w:rPr>
                <w:rFonts w:cs="Arial"/>
                <w:sz w:val="20"/>
                <w:szCs w:val="20"/>
              </w:rPr>
              <w:t>personenbezogenen Daten hat zur Folge: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Bearbeitung des Antrages oder Anzeige kann nicht erfolgen. Verbunden damit, dass keine Stoffe oder Gemische abgegeben werden dürfen.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Bereitstellung der personenbezogenen Daten ist vertraglich vereinbart.</w:t>
            </w:r>
          </w:p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31CE7">
        <w:tc>
          <w:tcPr>
            <w:tcW w:w="710" w:type="dxa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nur falls Nr. 10.4 ja:</w:t>
            </w:r>
          </w:p>
        </w:tc>
        <w:tc>
          <w:tcPr>
            <w:tcW w:w="1843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vertragliche Vereinbarung </w:t>
            </w:r>
            <w:r>
              <w:rPr>
                <w:rFonts w:cs="Arial"/>
                <w:sz w:val="20"/>
                <w:szCs w:val="20"/>
              </w:rPr>
              <w:t>bezieht sich auf folgende personenbezogene Daten: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1CE7">
        <w:tc>
          <w:tcPr>
            <w:tcW w:w="710" w:type="dxa"/>
            <w:vMerge/>
            <w:shd w:val="clear" w:color="auto" w:fill="auto"/>
          </w:tcPr>
          <w:p w:rsidR="00231CE7" w:rsidRDefault="00231CE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31CE7" w:rsidRDefault="00231CE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Nichtbereitstellung der personenbezogenen Daten hat zur Folge: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Bereitstellung der personenbezogenen Daten ist für einen Vertragsabschluss </w:t>
            </w:r>
            <w:r>
              <w:rPr>
                <w:rFonts w:cs="Arial"/>
                <w:sz w:val="20"/>
                <w:szCs w:val="20"/>
              </w:rPr>
              <w:br/>
              <w:t>erforderlich.</w:t>
            </w:r>
          </w:p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10.7</w:t>
            </w:r>
          </w:p>
        </w:tc>
        <w:tc>
          <w:tcPr>
            <w:tcW w:w="708" w:type="dxa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nur falls Nr. 10.6 ja:</w:t>
            </w:r>
          </w:p>
        </w:tc>
        <w:tc>
          <w:tcPr>
            <w:tcW w:w="1843" w:type="dxa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Nichtbereitstellung der personenbezogenen Daten hat zur Folge: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findet eine automatisierte Entscheidungsfindung statt.</w:t>
            </w:r>
          </w:p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31CE7">
        <w:tc>
          <w:tcPr>
            <w:tcW w:w="710" w:type="dxa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</w:t>
            </w:r>
          </w:p>
        </w:tc>
        <w:tc>
          <w:tcPr>
            <w:tcW w:w="708" w:type="dxa"/>
            <w:shd w:val="clear" w:color="auto" w:fill="auto"/>
          </w:tcPr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nur falls Nr. 11.1 ja: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31CE7" w:rsidRDefault="00BB3A4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Nachfolgend werden Sie über die involvierte Logik sowie die Tragweite und die Auswirkungen dieser Verarbeitung für Sie informiert:</w:t>
            </w:r>
          </w:p>
          <w:p w:rsidR="00231CE7" w:rsidRDefault="00BB3A4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31CE7" w:rsidRDefault="00231CE7"/>
    <w:p w:rsidR="00231CE7" w:rsidRDefault="00231CE7">
      <w:pPr>
        <w:ind w:right="28"/>
        <w:jc w:val="center"/>
      </w:pPr>
    </w:p>
    <w:sectPr w:rsidR="00231CE7">
      <w:headerReference w:type="default" r:id="rId8"/>
      <w:footerReference w:type="default" r:id="rId9"/>
      <w:pgSz w:w="11906" w:h="16838" w:code="9"/>
      <w:pgMar w:top="773" w:right="1274" w:bottom="1134" w:left="1247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44" w:rsidRDefault="00BB3A44">
      <w:r>
        <w:separator/>
      </w:r>
    </w:p>
  </w:endnote>
  <w:endnote w:type="continuationSeparator" w:id="0">
    <w:p w:rsidR="00BB3A44" w:rsidRDefault="00B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E7" w:rsidRDefault="00BB3A4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412B2">
      <w:rPr>
        <w:noProof/>
      </w:rPr>
      <w:t>4</w:t>
    </w:r>
    <w:r>
      <w:fldChar w:fldCharType="end"/>
    </w:r>
  </w:p>
  <w:p w:rsidR="00231CE7" w:rsidRDefault="00231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44" w:rsidRDefault="00BB3A44">
      <w:r>
        <w:separator/>
      </w:r>
    </w:p>
  </w:footnote>
  <w:footnote w:type="continuationSeparator" w:id="0">
    <w:p w:rsidR="00BB3A44" w:rsidRDefault="00BB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5040"/>
      <w:gridCol w:w="2160"/>
    </w:tblGrid>
    <w:tr w:rsidR="00231CE7">
      <w:trPr>
        <w:trHeight w:val="1261"/>
      </w:trPr>
      <w:tc>
        <w:tcPr>
          <w:tcW w:w="2880" w:type="dxa"/>
        </w:tcPr>
        <w:p w:rsidR="00231CE7" w:rsidRDefault="00231CE7">
          <w:pPr>
            <w:pStyle w:val="Kopfzeile"/>
            <w:rPr>
              <w:b/>
              <w:sz w:val="32"/>
              <w:szCs w:val="32"/>
            </w:rPr>
          </w:pPr>
        </w:p>
      </w:tc>
      <w:tc>
        <w:tcPr>
          <w:tcW w:w="7200" w:type="dxa"/>
          <w:gridSpan w:val="2"/>
        </w:tcPr>
        <w:p w:rsidR="00231CE7" w:rsidRDefault="00BB3A44">
          <w:pPr>
            <w:pStyle w:val="Kopfzeile"/>
            <w:jc w:val="right"/>
            <w:rPr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ge">
                  <wp:posOffset>20955</wp:posOffset>
                </wp:positionV>
                <wp:extent cx="2675255" cy="414655"/>
                <wp:effectExtent l="0" t="0" r="0" b="4445"/>
                <wp:wrapNone/>
                <wp:docPr id="64" name="Bild 43" descr="SMI_028_O_GR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3" descr="SMI_028_O_GR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52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1CE7">
      <w:trPr>
        <w:hidden/>
      </w:trPr>
      <w:tc>
        <w:tcPr>
          <w:tcW w:w="2880" w:type="dxa"/>
        </w:tcPr>
        <w:p w:rsidR="00231CE7" w:rsidRDefault="00231CE7">
          <w:pPr>
            <w:pStyle w:val="Kopfzeile"/>
            <w:rPr>
              <w:vanish/>
              <w:szCs w:val="22"/>
            </w:rPr>
          </w:pPr>
        </w:p>
      </w:tc>
      <w:tc>
        <w:tcPr>
          <w:tcW w:w="5040" w:type="dxa"/>
        </w:tcPr>
        <w:p w:rsidR="00231CE7" w:rsidRDefault="00231CE7">
          <w:pPr>
            <w:pStyle w:val="Kopfzeile"/>
            <w:jc w:val="right"/>
            <w:rPr>
              <w:szCs w:val="16"/>
            </w:rPr>
          </w:pPr>
        </w:p>
      </w:tc>
      <w:tc>
        <w:tcPr>
          <w:tcW w:w="2160" w:type="dxa"/>
        </w:tcPr>
        <w:p w:rsidR="00231CE7" w:rsidRDefault="00231CE7">
          <w:pPr>
            <w:pStyle w:val="Kopfzeile"/>
            <w:rPr>
              <w:b/>
              <w:sz w:val="18"/>
              <w:szCs w:val="18"/>
            </w:rPr>
          </w:pPr>
        </w:p>
      </w:tc>
    </w:tr>
  </w:tbl>
  <w:p w:rsidR="00231CE7" w:rsidRDefault="00BB3A44">
    <w:pPr>
      <w:pStyle w:val="Kopfzeile"/>
      <w:rPr>
        <w:vanish/>
        <w:szCs w:val="16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5474970</wp:posOffset>
              </wp:positionV>
              <wp:extent cx="180340" cy="635"/>
              <wp:effectExtent l="8890" t="7620" r="10795" b="10795"/>
              <wp:wrapNone/>
              <wp:docPr id="3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AFF65"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31.1pt" to="40.4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7713345</wp:posOffset>
              </wp:positionV>
              <wp:extent cx="180340" cy="635"/>
              <wp:effectExtent l="8890" t="7620" r="10795" b="10795"/>
              <wp:wrapNone/>
              <wp:docPr id="2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E6046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607.35pt" to="40.4pt,6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zboA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3896995</wp:posOffset>
              </wp:positionV>
              <wp:extent cx="180340" cy="635"/>
              <wp:effectExtent l="8890" t="10795" r="10795" b="7620"/>
              <wp:wrapNone/>
              <wp:docPr id="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7AE8A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306.85pt" to="40.4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" strokeweight=".25pt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190D"/>
    <w:multiLevelType w:val="hybridMultilevel"/>
    <w:tmpl w:val="53A0B5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F10EB"/>
    <w:multiLevelType w:val="hybridMultilevel"/>
    <w:tmpl w:val="C0147358"/>
    <w:lvl w:ilvl="0" w:tplc="70FC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" w:val="Reinschrift"/>
    <w:docVar w:name="Erstellt" w:val="Neu"/>
    <w:docVar w:name="Filenameentwurf" w:val="Formular Informationspflichten_ew.doc"/>
    <w:docVar w:name="FullFilenameentwurf" w:val="M:\DSGVO\Anpassung im SMI\Formular Informationspflichten_ew.doc"/>
    <w:docVar w:name="sAdressTyp" w:val="Adresse"/>
    <w:docVar w:name="sAdressZeile_Ende" w:val="0"/>
    <w:docVar w:name="sArtSchreiben" w:val="BriefExtern"/>
    <w:docVar w:name="sKopfBez" w:val="ALLGEMEIN"/>
    <w:docVar w:name="sVorbemerkung" w:val="nein"/>
    <w:docVar w:name="sZeilengrenze" w:val="1"/>
  </w:docVars>
  <w:rsids>
    <w:rsidRoot w:val="00231CE7"/>
    <w:rsid w:val="001412B2"/>
    <w:rsid w:val="00231CE7"/>
    <w:rsid w:val="00AC04F5"/>
    <w:rsid w:val="00B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2D7D2"/>
  <w15:docId w15:val="{519F724C-7395-463B-B3FC-7367208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Pr>
      <w:b/>
      <w:color w:val="00FF00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HBTextBetreff">
    <w:name w:val="MHB_Text_Betreff"/>
    <w:basedOn w:val="Standard"/>
    <w:pPr>
      <w:jc w:val="left"/>
    </w:pPr>
    <w:rPr>
      <w:b/>
      <w:szCs w:val="22"/>
    </w:rPr>
  </w:style>
  <w:style w:type="paragraph" w:customStyle="1" w:styleId="MHBTextAnlage">
    <w:name w:val="MHB_Text_Anlage"/>
    <w:basedOn w:val="Standard"/>
    <w:next w:val="Standard"/>
    <w:pPr>
      <w:tabs>
        <w:tab w:val="left" w:pos="1134"/>
      </w:tabs>
      <w:ind w:left="1134"/>
    </w:pPr>
    <w:rPr>
      <w:szCs w:val="20"/>
    </w:rPr>
  </w:style>
  <w:style w:type="paragraph" w:customStyle="1" w:styleId="MHBTextVerborgen">
    <w:name w:val="MHB_Text_Verborgen"/>
    <w:basedOn w:val="Standard"/>
    <w:rPr>
      <w:rFonts w:cs="Arial"/>
      <w:vanish/>
      <w:color w:val="0000FF"/>
      <w:szCs w:val="22"/>
    </w:rPr>
  </w:style>
  <w:style w:type="paragraph" w:customStyle="1" w:styleId="MHBTextVerborgenVerfuegung">
    <w:name w:val="MHB_Text_Verborgen_Verfuegung"/>
    <w:basedOn w:val="MHBTextVerborgen"/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MHBTextBezug">
    <w:name w:val="MHB_Text_Bezug"/>
    <w:basedOn w:val="MHBTextBetreff"/>
    <w:qFormat/>
    <w:rPr>
      <w:b w:val="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9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46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2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42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30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2010\Vorlagen\SMI-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A76F-99DE-4F8D-957D-EBA216DC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SMI-Kopf</Template>
  <TotalTime>0</TotalTime>
  <Pages>1</Pages>
  <Words>827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Informationspflichten</vt:lpstr>
    </vt:vector>
  </TitlesOfParts>
  <Company>Sächsisches Staatsministerium des Innern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Informationspflichten</dc:title>
  <dc:subject>Informationen nach Artikel 13 Absatz 1 und 2 Datenschutz-Grundverordnung</dc:subject>
  <dc:creator>Stange, Ute (SMI)</dc:creator>
  <dc:description>AZ</dc:description>
  <cp:lastModifiedBy>andreas.beese</cp:lastModifiedBy>
  <cp:revision>2</cp:revision>
  <cp:lastPrinted>2018-04-05T13:15:00Z</cp:lastPrinted>
  <dcterms:created xsi:type="dcterms:W3CDTF">2022-08-15T12:53:00Z</dcterms:created>
  <dcterms:modified xsi:type="dcterms:W3CDTF">2022-08-15T12:53:00Z</dcterms:modified>
</cp:coreProperties>
</file>